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outlineLvl w:val="0"/>
        <w:rPr>
          <w:rFonts w:ascii="宋体" w:hAnsi="宋体"/>
          <w:b/>
          <w:sz w:val="32"/>
          <w:szCs w:val="32"/>
        </w:rPr>
      </w:pPr>
      <w:bookmarkStart w:id="0" w:name="_GoBack"/>
      <w:r>
        <w:rPr>
          <w:rFonts w:hint="eastAsia" w:ascii="黑体" w:hAnsi="黑体" w:eastAsia="黑体"/>
          <w:bCs/>
          <w:sz w:val="32"/>
          <w:szCs w:val="32"/>
        </w:rPr>
        <w:t>附表4</w:t>
      </w:r>
    </w:p>
    <w:p>
      <w:pPr>
        <w:adjustRightInd w:val="0"/>
        <w:snapToGrid w:val="0"/>
        <w:spacing w:line="56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伦理审查批件</w:t>
      </w:r>
    </w:p>
    <w:bookmarkEnd w:id="0"/>
    <w:p>
      <w:pPr>
        <w:pStyle w:val="2"/>
        <w:ind w:left="1470" w:right="1470"/>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（第一版）</w:t>
      </w:r>
    </w:p>
    <w:p>
      <w:pPr>
        <w:adjustRightInd w:val="0"/>
        <w:snapToGrid w:val="0"/>
        <w:spacing w:line="360" w:lineRule="auto"/>
        <w:jc w:val="left"/>
        <w:outlineLvl w:val="0"/>
        <w:rPr>
          <w:rFonts w:ascii="仿宋" w:hAnsi="仿宋" w:eastAsia="仿宋"/>
          <w:sz w:val="24"/>
          <w:szCs w:val="24"/>
        </w:rPr>
      </w:pPr>
      <w:r>
        <w:rPr>
          <w:rFonts w:ascii="仿宋" w:hAnsi="仿宋" w:eastAsia="仿宋"/>
          <w:sz w:val="24"/>
          <w:szCs w:val="24"/>
        </w:rPr>
        <w:t>伦理批件号：</w:t>
      </w:r>
    </w:p>
    <w:tbl>
      <w:tblPr>
        <w:tblStyle w:val="3"/>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2446"/>
        <w:gridCol w:w="148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审查类别</w:t>
            </w:r>
          </w:p>
          <w:p>
            <w:pPr>
              <w:adjustRightInd w:val="0"/>
              <w:snapToGrid w:val="0"/>
              <w:spacing w:line="360" w:lineRule="auto"/>
              <w:rPr>
                <w:rFonts w:ascii="仿宋" w:hAnsi="仿宋" w:eastAsia="仿宋"/>
                <w:sz w:val="24"/>
                <w:szCs w:val="24"/>
              </w:rPr>
            </w:pPr>
          </w:p>
        </w:tc>
        <w:tc>
          <w:tcPr>
            <w:tcW w:w="2446"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□初始审查</w:t>
            </w:r>
          </w:p>
          <w:p>
            <w:pPr>
              <w:adjustRightInd w:val="0"/>
              <w:snapToGrid w:val="0"/>
              <w:spacing w:line="360" w:lineRule="auto"/>
              <w:rPr>
                <w:rFonts w:ascii="仿宋" w:hAnsi="仿宋" w:eastAsia="仿宋"/>
                <w:sz w:val="24"/>
                <w:szCs w:val="24"/>
              </w:rPr>
            </w:pPr>
            <w:r>
              <w:rPr>
                <w:rFonts w:ascii="仿宋" w:hAnsi="仿宋" w:eastAsia="仿宋"/>
                <w:sz w:val="24"/>
                <w:szCs w:val="24"/>
              </w:rPr>
              <w:t>□修正案审查</w:t>
            </w:r>
          </w:p>
          <w:p>
            <w:pPr>
              <w:adjustRightInd w:val="0"/>
              <w:snapToGrid w:val="0"/>
              <w:spacing w:line="360" w:lineRule="auto"/>
              <w:rPr>
                <w:rFonts w:ascii="仿宋" w:hAnsi="仿宋" w:eastAsia="仿宋"/>
                <w:sz w:val="24"/>
                <w:szCs w:val="24"/>
              </w:rPr>
            </w:pPr>
          </w:p>
        </w:tc>
        <w:tc>
          <w:tcPr>
            <w:tcW w:w="1485"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审查方式</w:t>
            </w:r>
          </w:p>
          <w:p>
            <w:pPr>
              <w:adjustRightInd w:val="0"/>
              <w:snapToGrid w:val="0"/>
              <w:spacing w:line="360" w:lineRule="auto"/>
              <w:rPr>
                <w:rFonts w:ascii="仿宋" w:hAnsi="仿宋" w:eastAsia="仿宋"/>
                <w:sz w:val="24"/>
                <w:szCs w:val="24"/>
              </w:rPr>
            </w:pPr>
          </w:p>
        </w:tc>
        <w:tc>
          <w:tcPr>
            <w:tcW w:w="22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firstLine="120" w:firstLineChars="50"/>
              <w:rPr>
                <w:rFonts w:ascii="仿宋" w:hAnsi="仿宋" w:eastAsia="仿宋"/>
                <w:sz w:val="24"/>
                <w:szCs w:val="24"/>
              </w:rPr>
            </w:pPr>
            <w:r>
              <w:rPr>
                <w:rFonts w:ascii="仿宋" w:hAnsi="仿宋" w:eastAsia="仿宋"/>
                <w:sz w:val="24"/>
                <w:szCs w:val="24"/>
              </w:rPr>
              <w:t>□ 紧急会议审查</w:t>
            </w:r>
          </w:p>
          <w:p>
            <w:pPr>
              <w:adjustRightInd w:val="0"/>
              <w:snapToGrid w:val="0"/>
              <w:spacing w:line="360" w:lineRule="auto"/>
              <w:ind w:firstLine="120" w:firstLineChars="50"/>
              <w:rPr>
                <w:rFonts w:ascii="仿宋" w:hAnsi="仿宋" w:eastAsia="仿宋"/>
                <w:sz w:val="24"/>
                <w:szCs w:val="24"/>
              </w:rPr>
            </w:pPr>
            <w:r>
              <w:rPr>
                <w:rFonts w:ascii="仿宋" w:hAnsi="仿宋" w:eastAsia="仿宋"/>
                <w:sz w:val="24"/>
                <w:szCs w:val="24"/>
              </w:rPr>
              <w:t>□ 会议审查</w:t>
            </w:r>
          </w:p>
          <w:p>
            <w:pPr>
              <w:adjustRightInd w:val="0"/>
              <w:snapToGrid w:val="0"/>
              <w:spacing w:line="360" w:lineRule="auto"/>
              <w:ind w:firstLine="120" w:firstLineChars="50"/>
              <w:rPr>
                <w:rFonts w:ascii="仿宋" w:hAnsi="仿宋" w:eastAsia="仿宋"/>
                <w:sz w:val="24"/>
                <w:szCs w:val="24"/>
              </w:rPr>
            </w:pPr>
            <w:r>
              <w:rPr>
                <w:rFonts w:ascii="仿宋" w:hAnsi="仿宋" w:eastAsia="仿宋"/>
                <w:sz w:val="24"/>
                <w:szCs w:val="24"/>
              </w:rPr>
              <w:t>□ 快速审查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会议日期</w:t>
            </w:r>
          </w:p>
        </w:tc>
        <w:tc>
          <w:tcPr>
            <w:tcW w:w="244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ascii="仿宋_GB2312" w:hAnsi="仿宋_GB2312" w:eastAsia="仿宋"/>
                <w:sz w:val="24"/>
                <w:szCs w:val="24"/>
              </w:rPr>
              <w:t> </w:t>
            </w:r>
          </w:p>
        </w:tc>
        <w:tc>
          <w:tcPr>
            <w:tcW w:w="1485"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ascii="仿宋" w:hAnsi="仿宋" w:eastAsia="仿宋"/>
                <w:sz w:val="24"/>
                <w:szCs w:val="24"/>
              </w:rPr>
              <w:t>会议地点</w:t>
            </w:r>
          </w:p>
        </w:tc>
        <w:tc>
          <w:tcPr>
            <w:tcW w:w="2295"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sz w:val="24"/>
                <w:szCs w:val="24"/>
              </w:rPr>
            </w:pPr>
            <w:r>
              <w:rPr>
                <w:rFonts w:ascii="仿宋_GB2312" w:hAnsi="仿宋_GB2312"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sz w:val="24"/>
                <w:szCs w:val="24"/>
              </w:rPr>
            </w:pPr>
            <w:r>
              <w:rPr>
                <w:rFonts w:ascii="仿宋" w:hAnsi="仿宋" w:eastAsia="仿宋"/>
                <w:sz w:val="24"/>
                <w:szCs w:val="24"/>
              </w:rPr>
              <w:t>项目名称</w:t>
            </w:r>
          </w:p>
        </w:tc>
        <w:tc>
          <w:tcPr>
            <w:tcW w:w="6226" w:type="dxa"/>
            <w:gridSpan w:val="3"/>
            <w:tcBorders>
              <w:top w:val="single" w:color="auto" w:sz="4" w:space="0"/>
              <w:left w:val="nil"/>
              <w:bottom w:val="single" w:color="auto" w:sz="4" w:space="0"/>
              <w:right w:val="single" w:color="auto" w:sz="4" w:space="0"/>
            </w:tcBorders>
          </w:tcPr>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sz w:val="24"/>
                <w:szCs w:val="24"/>
              </w:rPr>
            </w:pPr>
            <w:r>
              <w:rPr>
                <w:rFonts w:ascii="仿宋" w:hAnsi="仿宋" w:eastAsia="仿宋"/>
                <w:sz w:val="24"/>
                <w:szCs w:val="24"/>
              </w:rPr>
              <w:t>申办者/项目来源</w:t>
            </w:r>
          </w:p>
        </w:tc>
        <w:tc>
          <w:tcPr>
            <w:tcW w:w="6226" w:type="dxa"/>
            <w:gridSpan w:val="3"/>
            <w:tcBorders>
              <w:top w:val="single" w:color="auto" w:sz="4" w:space="0"/>
              <w:left w:val="nil"/>
              <w:bottom w:val="single" w:color="auto" w:sz="4" w:space="0"/>
              <w:right w:val="single" w:color="auto" w:sz="4" w:space="0"/>
            </w:tcBorders>
          </w:tcPr>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仿宋" w:hAnsi="仿宋" w:eastAsia="仿宋"/>
                <w:sz w:val="24"/>
                <w:szCs w:val="24"/>
              </w:rPr>
            </w:pPr>
            <w:r>
              <w:rPr>
                <w:rFonts w:ascii="仿宋" w:hAnsi="仿宋" w:eastAsia="仿宋"/>
                <w:sz w:val="24"/>
                <w:szCs w:val="24"/>
              </w:rPr>
              <w:t>本中心研究者</w:t>
            </w:r>
            <w:r>
              <w:rPr>
                <w:rFonts w:ascii="仿宋" w:hAnsi="仿宋" w:eastAsia="仿宋"/>
                <w:kern w:val="0"/>
                <w:sz w:val="24"/>
                <w:szCs w:val="24"/>
              </w:rPr>
              <w:t>/研究项目负责人</w:t>
            </w:r>
          </w:p>
        </w:tc>
        <w:tc>
          <w:tcPr>
            <w:tcW w:w="6226" w:type="dxa"/>
            <w:gridSpan w:val="3"/>
            <w:tcBorders>
              <w:top w:val="single" w:color="auto" w:sz="4" w:space="0"/>
              <w:left w:val="nil"/>
              <w:bottom w:val="single" w:color="auto" w:sz="4" w:space="0"/>
              <w:right w:val="single" w:color="auto" w:sz="4" w:space="0"/>
            </w:tcBorders>
          </w:tcPr>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trPr>
        <w:tc>
          <w:tcPr>
            <w:tcW w:w="9111"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sz w:val="24"/>
                <w:szCs w:val="24"/>
              </w:rPr>
            </w:pPr>
            <w:r>
              <w:rPr>
                <w:rFonts w:ascii="仿宋" w:hAnsi="仿宋" w:eastAsia="仿宋"/>
                <w:sz w:val="24"/>
                <w:szCs w:val="24"/>
              </w:rPr>
              <w:t>审查文件（含版本号和版本日期）：</w:t>
            </w: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911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伦理委员会对该临床研究的审查结果:</w:t>
            </w: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r>
              <w:rPr>
                <w:rFonts w:ascii="仿宋" w:hAnsi="仿宋" w:eastAsia="仿宋"/>
                <w:sz w:val="24"/>
                <w:szCs w:val="24"/>
              </w:rPr>
              <w:t>批准</w:t>
            </w:r>
          </w:p>
          <w:p>
            <w:pPr>
              <w:adjustRightInd w:val="0"/>
              <w:snapToGrid w:val="0"/>
              <w:spacing w:line="360" w:lineRule="auto"/>
              <w:ind w:firstLine="240" w:firstLineChars="1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911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r>
              <w:rPr>
                <w:rFonts w:ascii="仿宋" w:hAnsi="仿宋" w:eastAsia="仿宋"/>
                <w:sz w:val="24"/>
                <w:szCs w:val="24"/>
              </w:rPr>
              <w:t>本批件有效期：</w:t>
            </w:r>
          </w:p>
          <w:p>
            <w:pPr>
              <w:adjustRightInd w:val="0"/>
              <w:snapToGrid w:val="0"/>
              <w:spacing w:line="360" w:lineRule="auto"/>
              <w:ind w:firstLine="360" w:firstLineChars="150"/>
              <w:rPr>
                <w:rFonts w:ascii="仿宋" w:hAnsi="仿宋" w:eastAsia="仿宋"/>
                <w:sz w:val="24"/>
                <w:szCs w:val="24"/>
              </w:rPr>
            </w:pPr>
            <w:r>
              <w:rPr>
                <w:rFonts w:ascii="仿宋" w:hAnsi="仿宋" w:eastAsia="仿宋"/>
                <w:sz w:val="24"/>
                <w:szCs w:val="24"/>
              </w:rPr>
              <w:t>批准日期：</w:t>
            </w:r>
          </w:p>
          <w:p>
            <w:pPr>
              <w:adjustRightInd w:val="0"/>
              <w:snapToGrid w:val="0"/>
              <w:spacing w:line="360" w:lineRule="auto"/>
              <w:ind w:firstLine="360" w:firstLineChars="150"/>
              <w:rPr>
                <w:rFonts w:ascii="仿宋" w:hAnsi="仿宋" w:eastAsia="仿宋"/>
                <w:sz w:val="24"/>
                <w:szCs w:val="24"/>
              </w:rPr>
            </w:pPr>
            <w:r>
              <w:rPr>
                <w:rFonts w:ascii="仿宋" w:hAnsi="仿宋" w:eastAsia="仿宋"/>
                <w:sz w:val="24"/>
                <w:szCs w:val="24"/>
              </w:rPr>
              <w:t>失效日期：</w:t>
            </w:r>
          </w:p>
          <w:p>
            <w:pPr>
              <w:jc w:val="left"/>
              <w:rPr>
                <w:rFonts w:ascii="仿宋" w:hAnsi="仿宋" w:eastAsia="仿宋"/>
                <w:sz w:val="24"/>
                <w:szCs w:val="24"/>
              </w:rPr>
            </w:pPr>
          </w:p>
          <w:p>
            <w:pPr>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11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该临床研究是否需要定期跟踪审查？</w:t>
            </w:r>
          </w:p>
          <w:p>
            <w:pPr>
              <w:adjustRightInd w:val="0"/>
              <w:snapToGrid w:val="0"/>
              <w:spacing w:line="360" w:lineRule="auto"/>
              <w:ind w:firstLine="360" w:firstLineChars="150"/>
              <w:rPr>
                <w:rFonts w:ascii="仿宋" w:hAnsi="仿宋" w:eastAsia="仿宋"/>
                <w:sz w:val="24"/>
                <w:szCs w:val="24"/>
              </w:rPr>
            </w:pPr>
            <w:r>
              <w:rPr>
                <w:rFonts w:ascii="仿宋" w:hAnsi="仿宋" w:eastAsia="仿宋"/>
                <w:sz w:val="24"/>
                <w:szCs w:val="24"/>
              </w:rPr>
              <w:t>□否</w:t>
            </w:r>
          </w:p>
          <w:p>
            <w:pPr>
              <w:adjustRightInd w:val="0"/>
              <w:snapToGrid w:val="0"/>
              <w:spacing w:line="360" w:lineRule="auto"/>
              <w:ind w:firstLine="360" w:firstLineChars="150"/>
              <w:rPr>
                <w:rFonts w:ascii="仿宋" w:hAnsi="仿宋" w:eastAsia="仿宋"/>
                <w:sz w:val="24"/>
                <w:szCs w:val="24"/>
              </w:rPr>
            </w:pPr>
            <w:r>
              <w:rPr>
                <w:rFonts w:ascii="仿宋" w:hAnsi="仿宋" w:eastAsia="仿宋"/>
                <w:sz w:val="24"/>
                <w:szCs w:val="24"/>
              </w:rPr>
              <w:t>□是，定期跟踪审查频率为：</w:t>
            </w:r>
          </w:p>
          <w:p>
            <w:pPr>
              <w:adjustRightInd w:val="0"/>
              <w:snapToGrid w:val="0"/>
              <w:spacing w:line="360" w:lineRule="auto"/>
              <w:ind w:firstLine="1080" w:firstLineChars="450"/>
              <w:rPr>
                <w:rFonts w:ascii="仿宋" w:hAnsi="仿宋" w:eastAsia="仿宋"/>
                <w:sz w:val="24"/>
                <w:szCs w:val="24"/>
              </w:rPr>
            </w:pPr>
            <w:r>
              <w:rPr>
                <w:rFonts w:ascii="仿宋" w:hAnsi="仿宋" w:eastAsia="仿宋"/>
                <w:sz w:val="24"/>
                <w:szCs w:val="24"/>
              </w:rPr>
              <w:t>□3个月</w:t>
            </w:r>
          </w:p>
          <w:p>
            <w:pPr>
              <w:adjustRightInd w:val="0"/>
              <w:snapToGrid w:val="0"/>
              <w:spacing w:line="360" w:lineRule="auto"/>
              <w:ind w:firstLine="1080" w:firstLineChars="450"/>
              <w:rPr>
                <w:rFonts w:ascii="仿宋" w:hAnsi="仿宋" w:eastAsia="仿宋"/>
                <w:sz w:val="24"/>
                <w:szCs w:val="24"/>
              </w:rPr>
            </w:pPr>
            <w:r>
              <w:rPr>
                <w:rFonts w:ascii="仿宋" w:hAnsi="仿宋" w:eastAsia="仿宋"/>
                <w:sz w:val="24"/>
                <w:szCs w:val="24"/>
              </w:rPr>
              <w:t>□6个月</w:t>
            </w:r>
          </w:p>
          <w:p>
            <w:pPr>
              <w:adjustRightInd w:val="0"/>
              <w:snapToGrid w:val="0"/>
              <w:spacing w:line="360" w:lineRule="auto"/>
              <w:ind w:firstLine="1080" w:firstLineChars="450"/>
              <w:rPr>
                <w:rFonts w:ascii="仿宋" w:hAnsi="仿宋" w:eastAsia="仿宋"/>
                <w:sz w:val="24"/>
                <w:szCs w:val="24"/>
              </w:rPr>
            </w:pPr>
            <w:r>
              <w:rPr>
                <w:rFonts w:ascii="仿宋" w:hAnsi="仿宋" w:eastAsia="仿宋"/>
                <w:sz w:val="24"/>
                <w:szCs w:val="24"/>
              </w:rPr>
              <w:t>□12个月</w:t>
            </w:r>
          </w:p>
          <w:p>
            <w:pPr>
              <w:adjustRightInd w:val="0"/>
              <w:snapToGrid w:val="0"/>
              <w:spacing w:line="360" w:lineRule="auto"/>
              <w:ind w:firstLine="1080" w:firstLineChars="450"/>
              <w:rPr>
                <w:rFonts w:ascii="仿宋" w:hAnsi="仿宋" w:eastAsia="仿宋"/>
                <w:sz w:val="24"/>
                <w:szCs w:val="24"/>
              </w:rPr>
            </w:pPr>
            <w:r>
              <w:rPr>
                <w:rFonts w:ascii="仿宋" w:hAnsi="仿宋" w:eastAsia="仿宋"/>
                <w:sz w:val="24"/>
                <w:szCs w:val="24"/>
              </w:rPr>
              <w:t>□其它（详细说明）：</w:t>
            </w:r>
          </w:p>
          <w:p>
            <w:pPr>
              <w:adjustRightInd w:val="0"/>
              <w:snapToGrid w:val="0"/>
              <w:spacing w:line="360" w:lineRule="auto"/>
              <w:ind w:firstLine="283" w:firstLineChars="118"/>
              <w:rPr>
                <w:rFonts w:ascii="仿宋" w:hAnsi="仿宋" w:eastAsia="仿宋"/>
                <w:sz w:val="24"/>
                <w:szCs w:val="24"/>
              </w:rPr>
            </w:pPr>
          </w:p>
          <w:p>
            <w:pPr>
              <w:adjustRightInd w:val="0"/>
              <w:snapToGrid w:val="0"/>
              <w:spacing w:line="360" w:lineRule="auto"/>
              <w:rPr>
                <w:rFonts w:ascii="仿宋" w:hAnsi="仿宋" w:eastAsia="仿宋"/>
                <w:i/>
                <w:sz w:val="24"/>
                <w:szCs w:val="24"/>
              </w:rPr>
            </w:pPr>
            <w:r>
              <w:rPr>
                <w:rFonts w:ascii="仿宋" w:hAnsi="仿宋" w:eastAsia="仿宋"/>
                <w:i/>
                <w:sz w:val="24"/>
                <w:szCs w:val="24"/>
              </w:rPr>
              <w:t>说明：</w:t>
            </w:r>
          </w:p>
          <w:p>
            <w:pPr>
              <w:adjustRightInd w:val="0"/>
              <w:snapToGrid w:val="0"/>
              <w:spacing w:line="360" w:lineRule="auto"/>
              <w:rPr>
                <w:rFonts w:ascii="仿宋" w:hAnsi="仿宋" w:eastAsia="仿宋"/>
                <w:i/>
                <w:sz w:val="24"/>
                <w:szCs w:val="24"/>
              </w:rPr>
            </w:pPr>
            <w:r>
              <w:rPr>
                <w:rFonts w:ascii="仿宋" w:hAnsi="仿宋" w:eastAsia="仿宋"/>
                <w:i/>
                <w:sz w:val="24"/>
                <w:szCs w:val="24"/>
              </w:rPr>
              <w:t>根据实际进展情况，伦理委员会有权改变跟踪审查频率。</w:t>
            </w:r>
          </w:p>
          <w:p>
            <w:pPr>
              <w:adjustRightInd w:val="0"/>
              <w:snapToGrid w:val="0"/>
              <w:spacing w:line="360" w:lineRule="auto"/>
              <w:rPr>
                <w:rFonts w:ascii="仿宋" w:hAnsi="仿宋" w:eastAsia="仿宋"/>
                <w:sz w:val="24"/>
                <w:szCs w:val="24"/>
              </w:rPr>
            </w:pPr>
            <w:r>
              <w:rPr>
                <w:rFonts w:ascii="仿宋" w:hAnsi="仿宋" w:eastAsia="仿宋"/>
                <w:i/>
                <w:sz w:val="24"/>
                <w:szCs w:val="24"/>
              </w:rPr>
              <w:t>请研究者/研究项目负责人根据跟踪审查频率，按时向伦理委员会递交定期/年度报告。</w:t>
            </w:r>
            <w:r>
              <w:rPr>
                <w:rFonts w:ascii="仿宋_GB2312" w:hAnsi="仿宋_GB2312"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11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sz w:val="24"/>
                <w:szCs w:val="24"/>
              </w:rPr>
            </w:pPr>
            <w:r>
              <w:rPr>
                <w:rFonts w:ascii="仿宋" w:hAnsi="仿宋" w:eastAsia="仿宋"/>
                <w:sz w:val="24"/>
                <w:szCs w:val="24"/>
              </w:rPr>
              <w:t>如果研究者/研究项目负责人或申办者对伦理委员会的审查结果有疑问或需要申诉，请联络医院伦理委员会，并提交书面申诉意见，详细说明申诉理由。</w:t>
            </w:r>
          </w:p>
          <w:p>
            <w:pPr>
              <w:adjustRightInd w:val="0"/>
              <w:snapToGrid w:val="0"/>
              <w:spacing w:line="360" w:lineRule="auto"/>
              <w:ind w:left="120" w:hanging="120" w:hangingChars="5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4" w:hRule="atLeast"/>
          <w:jc w:val="center"/>
        </w:trPr>
        <w:tc>
          <w:tcPr>
            <w:tcW w:w="9111"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sz w:val="24"/>
                <w:szCs w:val="24"/>
              </w:rPr>
            </w:pPr>
          </w:p>
          <w:p>
            <w:pPr>
              <w:adjustRightInd w:val="0"/>
              <w:snapToGrid w:val="0"/>
              <w:spacing w:line="360" w:lineRule="auto"/>
              <w:jc w:val="left"/>
              <w:rPr>
                <w:rFonts w:ascii="仿宋" w:hAnsi="仿宋" w:eastAsia="仿宋"/>
                <w:sz w:val="24"/>
                <w:szCs w:val="24"/>
              </w:rPr>
            </w:pPr>
            <w:r>
              <w:rPr>
                <w:rFonts w:ascii="仿宋" w:hAnsi="仿宋" w:eastAsia="仿宋"/>
                <w:sz w:val="24"/>
                <w:szCs w:val="24"/>
              </w:rPr>
              <w:t>主任委员（或被授权的副主任委员/委员）签名：</w:t>
            </w:r>
          </w:p>
          <w:p>
            <w:pPr>
              <w:adjustRightInd w:val="0"/>
              <w:snapToGrid w:val="0"/>
              <w:spacing w:line="360" w:lineRule="auto"/>
              <w:ind w:firstLine="4920" w:firstLineChars="2050"/>
              <w:rPr>
                <w:rFonts w:ascii="仿宋" w:hAnsi="仿宋" w:eastAsia="仿宋"/>
                <w:sz w:val="24"/>
                <w:szCs w:val="24"/>
              </w:rPr>
            </w:pPr>
          </w:p>
          <w:p>
            <w:pPr>
              <w:adjustRightInd w:val="0"/>
              <w:snapToGrid w:val="0"/>
              <w:spacing w:line="360" w:lineRule="auto"/>
              <w:rPr>
                <w:rFonts w:ascii="仿宋" w:hAnsi="仿宋" w:eastAsia="仿宋"/>
                <w:i/>
                <w:sz w:val="24"/>
                <w:szCs w:val="24"/>
              </w:rPr>
            </w:pPr>
          </w:p>
          <w:p>
            <w:pPr>
              <w:adjustRightInd w:val="0"/>
              <w:snapToGrid w:val="0"/>
              <w:spacing w:line="360" w:lineRule="auto"/>
              <w:rPr>
                <w:rFonts w:ascii="仿宋" w:hAnsi="仿宋" w:eastAsia="仿宋"/>
                <w:sz w:val="24"/>
                <w:szCs w:val="24"/>
              </w:rPr>
            </w:pPr>
            <w:r>
              <w:rPr>
                <w:rFonts w:ascii="仿宋" w:hAnsi="仿宋" w:eastAsia="仿宋"/>
                <w:i/>
                <w:sz w:val="24"/>
                <w:szCs w:val="24"/>
              </w:rPr>
              <w:t>XXX</w:t>
            </w:r>
            <w:r>
              <w:rPr>
                <w:rFonts w:ascii="仿宋" w:hAnsi="仿宋" w:eastAsia="仿宋"/>
                <w:sz w:val="24"/>
                <w:szCs w:val="24"/>
              </w:rPr>
              <w:t>医院伦理委员会（盖章）：</w:t>
            </w:r>
          </w:p>
          <w:p>
            <w:pPr>
              <w:adjustRightInd w:val="0"/>
              <w:snapToGrid w:val="0"/>
              <w:spacing w:line="360" w:lineRule="auto"/>
              <w:ind w:firstLine="5880" w:firstLineChars="2450"/>
              <w:rPr>
                <w:rFonts w:ascii="仿宋" w:hAnsi="仿宋" w:eastAsia="仿宋"/>
                <w:sz w:val="24"/>
                <w:szCs w:val="24"/>
              </w:rPr>
            </w:pPr>
            <w:r>
              <w:rPr>
                <w:rFonts w:ascii="仿宋" w:hAnsi="仿宋" w:eastAsia="仿宋"/>
                <w:sz w:val="24"/>
                <w:szCs w:val="24"/>
              </w:rPr>
              <w:t>年</w:t>
            </w:r>
            <w:r>
              <w:rPr>
                <w:rFonts w:hint="eastAsia" w:ascii="仿宋" w:hAnsi="仿宋" w:eastAsia="仿宋"/>
                <w:sz w:val="24"/>
                <w:szCs w:val="24"/>
              </w:rPr>
              <w:t xml:space="preserve">   </w:t>
            </w:r>
            <w:r>
              <w:rPr>
                <w:rFonts w:ascii="仿宋" w:hAnsi="仿宋" w:eastAsia="仿宋"/>
                <w:sz w:val="24"/>
                <w:szCs w:val="24"/>
              </w:rPr>
              <w:t>月</w:t>
            </w:r>
            <w:r>
              <w:rPr>
                <w:rFonts w:hint="eastAsia" w:ascii="仿宋" w:hAnsi="仿宋" w:eastAsia="仿宋"/>
                <w:sz w:val="24"/>
                <w:szCs w:val="24"/>
              </w:rPr>
              <w:t xml:space="preserve">   </w:t>
            </w:r>
            <w:r>
              <w:rPr>
                <w:rFonts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2" w:hRule="atLeast"/>
          <w:jc w:val="center"/>
        </w:trPr>
        <w:tc>
          <w:tcPr>
            <w:tcW w:w="9111" w:type="dxa"/>
            <w:gridSpan w:val="4"/>
            <w:tcBorders>
              <w:top w:val="single" w:color="auto" w:sz="4" w:space="0"/>
              <w:left w:val="single" w:color="auto" w:sz="4" w:space="0"/>
              <w:bottom w:val="single" w:color="auto" w:sz="4" w:space="0"/>
              <w:right w:val="single" w:color="auto" w:sz="4" w:space="0"/>
            </w:tcBorders>
          </w:tcPr>
          <w:p>
            <w:pPr>
              <w:rPr>
                <w:rFonts w:ascii="仿宋" w:hAnsi="仿宋" w:eastAsia="仿宋"/>
                <w:sz w:val="24"/>
                <w:szCs w:val="24"/>
              </w:rPr>
            </w:pPr>
            <w:r>
              <w:rPr>
                <w:rFonts w:ascii="仿宋" w:hAnsi="仿宋" w:eastAsia="仿宋"/>
                <w:sz w:val="24"/>
                <w:szCs w:val="24"/>
              </w:rPr>
              <w:t>说明：</w:t>
            </w:r>
          </w:p>
          <w:p>
            <w:pPr>
              <w:adjustRightInd w:val="0"/>
              <w:snapToGrid w:val="0"/>
              <w:spacing w:line="360" w:lineRule="auto"/>
              <w:rPr>
                <w:rFonts w:ascii="仿宋" w:hAnsi="仿宋" w:eastAsia="仿宋"/>
                <w:sz w:val="24"/>
                <w:szCs w:val="24"/>
              </w:rPr>
            </w:pPr>
            <w:r>
              <w:rPr>
                <w:rFonts w:ascii="仿宋" w:hAnsi="仿宋" w:eastAsia="仿宋"/>
                <w:sz w:val="24"/>
                <w:szCs w:val="24"/>
              </w:rPr>
              <w:t>1.请按照GCP原则和伦理委员会批准的文件开展研究，保护受试者的健康与权益。</w:t>
            </w:r>
          </w:p>
          <w:p>
            <w:pPr>
              <w:adjustRightInd w:val="0"/>
              <w:snapToGrid w:val="0"/>
              <w:spacing w:line="360" w:lineRule="auto"/>
              <w:rPr>
                <w:rFonts w:ascii="仿宋" w:hAnsi="仿宋" w:eastAsia="仿宋"/>
                <w:sz w:val="24"/>
                <w:szCs w:val="24"/>
              </w:rPr>
            </w:pPr>
            <w:r>
              <w:rPr>
                <w:rFonts w:ascii="仿宋" w:hAnsi="仿宋" w:eastAsia="仿宋"/>
                <w:sz w:val="24"/>
                <w:szCs w:val="24"/>
              </w:rPr>
              <w:t>2.凡涉及人类遗传资源管理或者国家规定必须经有关部门审批的项目，均需在执行前向有关部门申报并获得批准。</w:t>
            </w:r>
          </w:p>
          <w:p>
            <w:pPr>
              <w:adjustRightInd w:val="0"/>
              <w:snapToGrid w:val="0"/>
              <w:spacing w:line="360" w:lineRule="auto"/>
              <w:rPr>
                <w:rFonts w:ascii="仿宋" w:hAnsi="仿宋" w:eastAsia="仿宋"/>
                <w:sz w:val="24"/>
                <w:szCs w:val="24"/>
              </w:rPr>
            </w:pPr>
            <w:r>
              <w:rPr>
                <w:rFonts w:ascii="仿宋" w:hAnsi="仿宋" w:eastAsia="仿宋"/>
                <w:sz w:val="24"/>
                <w:szCs w:val="24"/>
              </w:rPr>
              <w:t>3.研究过程中，对已批准的研究方案、知情同意书（如有）、招募材料（如有）等的任何修改以及研究者/研究项目负责人的变更，请提交修正案审查申请，均须得到伦理委员会审查批准后方可实施。</w:t>
            </w:r>
          </w:p>
          <w:p>
            <w:pPr>
              <w:adjustRightInd w:val="0"/>
              <w:snapToGrid w:val="0"/>
              <w:spacing w:line="360" w:lineRule="auto"/>
              <w:rPr>
                <w:rFonts w:ascii="仿宋" w:hAnsi="仿宋" w:eastAsia="仿宋"/>
                <w:sz w:val="24"/>
                <w:szCs w:val="24"/>
              </w:rPr>
            </w:pPr>
            <w:r>
              <w:rPr>
                <w:rFonts w:ascii="仿宋" w:hAnsi="仿宋" w:eastAsia="仿宋"/>
                <w:sz w:val="24"/>
                <w:szCs w:val="24"/>
              </w:rPr>
              <w:t>4. 本中心发生的严重不良事件或影响受试者安全或权益的事件需在向监管部门上报的同时向伦理委员会作书面报告（药物临床试验仅报可疑且非预期严重不良反应），伦理委员会有权对其评估做出新的决定。</w:t>
            </w:r>
          </w:p>
          <w:p>
            <w:pPr>
              <w:adjustRightInd w:val="0"/>
              <w:snapToGrid w:val="0"/>
              <w:spacing w:line="360" w:lineRule="auto"/>
              <w:rPr>
                <w:rFonts w:ascii="仿宋" w:hAnsi="仿宋" w:eastAsia="仿宋"/>
                <w:sz w:val="24"/>
                <w:szCs w:val="24"/>
              </w:rPr>
            </w:pPr>
            <w:r>
              <w:rPr>
                <w:rFonts w:ascii="仿宋" w:hAnsi="仿宋" w:eastAsia="仿宋"/>
                <w:sz w:val="24"/>
                <w:szCs w:val="24"/>
              </w:rPr>
              <w:t>5. 本中心发生偏离方案时，请及时提交偏离方案报告。</w:t>
            </w:r>
          </w:p>
          <w:p>
            <w:pPr>
              <w:adjustRightInd w:val="0"/>
              <w:snapToGrid w:val="0"/>
              <w:spacing w:line="360" w:lineRule="auto"/>
              <w:rPr>
                <w:rFonts w:ascii="仿宋" w:hAnsi="仿宋" w:eastAsia="仿宋"/>
                <w:sz w:val="24"/>
                <w:szCs w:val="24"/>
              </w:rPr>
            </w:pPr>
            <w:r>
              <w:rPr>
                <w:rFonts w:ascii="仿宋" w:hAnsi="仿宋" w:eastAsia="仿宋"/>
                <w:sz w:val="24"/>
                <w:szCs w:val="24"/>
              </w:rPr>
              <w:t>6. 无论研究开始与否，请按照伦理委员会规定的跟踪审查频率，在截止日期前1个月提交研究进展报告。</w:t>
            </w:r>
          </w:p>
          <w:p>
            <w:pPr>
              <w:adjustRightInd w:val="0"/>
              <w:snapToGrid w:val="0"/>
              <w:spacing w:line="360" w:lineRule="auto"/>
              <w:rPr>
                <w:rFonts w:ascii="仿宋" w:hAnsi="仿宋" w:eastAsia="仿宋"/>
                <w:sz w:val="24"/>
                <w:szCs w:val="24"/>
              </w:rPr>
            </w:pPr>
            <w:r>
              <w:rPr>
                <w:rFonts w:ascii="仿宋" w:hAnsi="仿宋" w:eastAsia="仿宋"/>
                <w:sz w:val="24"/>
                <w:szCs w:val="24"/>
              </w:rPr>
              <w:t>7. 暂停或提前终止研究，请及时提交暂停/终止研究报告。</w:t>
            </w:r>
          </w:p>
          <w:p>
            <w:pPr>
              <w:adjustRightInd w:val="0"/>
              <w:snapToGrid w:val="0"/>
              <w:spacing w:line="360" w:lineRule="auto"/>
              <w:rPr>
                <w:rFonts w:ascii="仿宋" w:hAnsi="仿宋" w:eastAsia="仿宋"/>
                <w:sz w:val="24"/>
                <w:szCs w:val="24"/>
              </w:rPr>
            </w:pPr>
            <w:r>
              <w:rPr>
                <w:rFonts w:ascii="仿宋" w:hAnsi="仿宋" w:eastAsia="仿宋"/>
                <w:sz w:val="24"/>
                <w:szCs w:val="24"/>
              </w:rPr>
              <w:t>8. 完成临床研究，请提交结题报告。</w:t>
            </w:r>
          </w:p>
          <w:p>
            <w:pPr>
              <w:adjustRightInd w:val="0"/>
              <w:snapToGrid w:val="0"/>
              <w:spacing w:line="360" w:lineRule="auto"/>
              <w:rPr>
                <w:rFonts w:ascii="仿宋" w:hAnsi="仿宋" w:eastAsia="仿宋"/>
                <w:sz w:val="24"/>
                <w:szCs w:val="24"/>
              </w:rPr>
            </w:pPr>
            <w:r>
              <w:rPr>
                <w:rFonts w:ascii="仿宋" w:hAnsi="仿宋" w:eastAsia="仿宋"/>
                <w:sz w:val="24"/>
                <w:szCs w:val="24"/>
              </w:rPr>
              <w:t>9. 请在批件有效期内开展试验/研究，逾期未开展的，本伦理批件失效。</w:t>
            </w:r>
          </w:p>
          <w:p>
            <w:pPr>
              <w:adjustRightInd w:val="0"/>
              <w:snapToGrid w:val="0"/>
              <w:spacing w:line="360" w:lineRule="auto"/>
              <w:rPr>
                <w:rFonts w:ascii="仿宋" w:hAnsi="仿宋" w:eastAsia="仿宋"/>
                <w:sz w:val="24"/>
                <w:szCs w:val="24"/>
              </w:rPr>
            </w:pPr>
            <w:r>
              <w:rPr>
                <w:rFonts w:ascii="仿宋" w:hAnsi="仿宋" w:eastAsia="仿宋"/>
                <w:sz w:val="24"/>
                <w:szCs w:val="24"/>
              </w:rPr>
              <w:t>10.伦理批件失效后的临床研究项目，再次开展时，需重新伦理审查。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jc w:val="center"/>
        </w:trPr>
        <w:tc>
          <w:tcPr>
            <w:tcW w:w="9111"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仿宋" w:hAnsi="仿宋" w:eastAsia="仿宋"/>
                <w:sz w:val="24"/>
                <w:szCs w:val="24"/>
              </w:rPr>
            </w:pPr>
            <w:r>
              <w:rPr>
                <w:rFonts w:ascii="仿宋" w:hAnsi="仿宋" w:eastAsia="仿宋"/>
                <w:sz w:val="24"/>
                <w:szCs w:val="24"/>
              </w:rPr>
              <w:t>声明:</w:t>
            </w:r>
          </w:p>
          <w:p>
            <w:pPr>
              <w:adjustRightInd w:val="0"/>
              <w:snapToGrid w:val="0"/>
              <w:spacing w:line="360" w:lineRule="auto"/>
              <w:rPr>
                <w:rFonts w:ascii="仿宋" w:hAnsi="仿宋" w:eastAsia="仿宋"/>
                <w:sz w:val="24"/>
                <w:szCs w:val="24"/>
              </w:rPr>
            </w:pPr>
            <w:r>
              <w:rPr>
                <w:rFonts w:ascii="仿宋" w:hAnsi="仿宋" w:eastAsia="仿宋"/>
                <w:sz w:val="24"/>
                <w:szCs w:val="24"/>
              </w:rPr>
              <w:t>本伦理委员会的组成及工作程序符合《赫尔辛基宣言》、《人体生物医学研究国际道德指南》、《涉及人的生物医学研究伦理审查办法》、《药物临床试验质量管理规范》、《医疗器械临床试验质量管理规范》和《药物临床试验伦理审查工作指导原则》等国际伦理原则及我国相关规章和指导原则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E074F"/>
    <w:rsid w:val="3BBE074F"/>
    <w:rsid w:val="49376A52"/>
    <w:rsid w:val="7D7C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2022-02-11T09:05:00Z</dcterms:created>
  <dc:creator>杰么娜</dc:creator>
  <cp:lastModifiedBy>杰么娜</cp:lastModifiedBy>
  <dcterms:modified xsi:type="dcterms:W3CDTF">2022-02-11T09:06:53Z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53B75B4D3EC9411592B0ABDE7B580C21</vt:lpwstr>
  </property>
</Properties>
</file>